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01-5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ocial Media Management Leistungen Sparkassen Münsterland Giro 2027 (+ Optionale Folgejahre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